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84F" w:rsidRDefault="00C1484F" w:rsidP="0019605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C1484F" w:rsidRDefault="00C1484F" w:rsidP="0019605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C1484F" w:rsidRDefault="003833A5" w:rsidP="0019605F">
      <w:pPr>
        <w:jc w:val="center"/>
        <w:rPr>
          <w:rFonts w:ascii="黑体" w:eastAsia="黑体" w:hAnsi="黑体"/>
          <w:b/>
          <w:sz w:val="32"/>
          <w:szCs w:val="32"/>
        </w:rPr>
      </w:pPr>
      <w:r w:rsidRPr="0090382A">
        <w:rPr>
          <w:rFonts w:ascii="黑体" w:eastAsia="黑体" w:hAnsi="黑体" w:hint="eastAsia"/>
          <w:b/>
          <w:sz w:val="32"/>
          <w:szCs w:val="32"/>
        </w:rPr>
        <w:t>人文学院</w:t>
      </w:r>
      <w:r w:rsidR="002D704F" w:rsidRPr="0090382A">
        <w:rPr>
          <w:rFonts w:ascii="黑体" w:eastAsia="黑体" w:hAnsi="黑体" w:hint="eastAsia"/>
          <w:b/>
          <w:sz w:val="32"/>
          <w:szCs w:val="32"/>
        </w:rPr>
        <w:t>201</w:t>
      </w:r>
      <w:r w:rsidR="00261C72">
        <w:rPr>
          <w:rFonts w:ascii="黑体" w:eastAsia="黑体" w:hAnsi="黑体"/>
          <w:b/>
          <w:sz w:val="32"/>
          <w:szCs w:val="32"/>
        </w:rPr>
        <w:t>8</w:t>
      </w:r>
      <w:r w:rsidR="002D704F" w:rsidRPr="0090382A">
        <w:rPr>
          <w:rFonts w:ascii="黑体" w:eastAsia="黑体" w:hAnsi="黑体" w:hint="eastAsia"/>
          <w:b/>
          <w:sz w:val="32"/>
          <w:szCs w:val="32"/>
        </w:rPr>
        <w:t>年</w:t>
      </w:r>
      <w:r w:rsidRPr="0090382A">
        <w:rPr>
          <w:rFonts w:ascii="黑体" w:eastAsia="黑体" w:hAnsi="黑体" w:hint="eastAsia"/>
          <w:b/>
          <w:sz w:val="32"/>
          <w:szCs w:val="32"/>
        </w:rPr>
        <w:t>研究生学业奖学金</w:t>
      </w:r>
      <w:r w:rsidR="004C1DEA" w:rsidRPr="0090382A">
        <w:rPr>
          <w:rFonts w:ascii="黑体" w:eastAsia="黑体" w:hAnsi="黑体" w:hint="eastAsia"/>
          <w:b/>
          <w:sz w:val="32"/>
          <w:szCs w:val="32"/>
        </w:rPr>
        <w:t>评审</w:t>
      </w:r>
    </w:p>
    <w:p w:rsidR="00881DFE" w:rsidRPr="0090382A" w:rsidRDefault="004B202A" w:rsidP="0019605F">
      <w:pPr>
        <w:jc w:val="center"/>
        <w:rPr>
          <w:rFonts w:ascii="黑体" w:eastAsia="黑体" w:hAnsi="黑体"/>
          <w:b/>
          <w:sz w:val="32"/>
          <w:szCs w:val="32"/>
        </w:rPr>
      </w:pPr>
      <w:r w:rsidRPr="0090382A">
        <w:rPr>
          <w:rFonts w:ascii="黑体" w:eastAsia="黑体" w:hAnsi="黑体" w:hint="eastAsia"/>
          <w:b/>
          <w:sz w:val="32"/>
          <w:szCs w:val="32"/>
        </w:rPr>
        <w:t>实施细则</w:t>
      </w:r>
    </w:p>
    <w:p w:rsidR="00C1484F" w:rsidRPr="00C1484F" w:rsidRDefault="00C1484F" w:rsidP="002D704F">
      <w:pPr>
        <w:ind w:firstLineChars="200" w:firstLine="643"/>
        <w:rPr>
          <w:b/>
          <w:sz w:val="32"/>
          <w:szCs w:val="32"/>
        </w:rPr>
      </w:pPr>
    </w:p>
    <w:p w:rsidR="0019605F" w:rsidRDefault="00C1484F" w:rsidP="002D70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为保障我院研究生学业奖学金评审工作顺利进行，</w:t>
      </w:r>
      <w:r w:rsidR="0019605F">
        <w:rPr>
          <w:rFonts w:hint="eastAsia"/>
          <w:sz w:val="28"/>
          <w:szCs w:val="28"/>
        </w:rPr>
        <w:t>根据</w:t>
      </w:r>
      <w:r w:rsidR="007C4800">
        <w:rPr>
          <w:rFonts w:hint="eastAsia"/>
          <w:sz w:val="28"/>
          <w:szCs w:val="28"/>
        </w:rPr>
        <w:t>《北京邮电大学研究生学业奖学金实施细则》</w:t>
      </w:r>
      <w:r w:rsidR="0071034D">
        <w:rPr>
          <w:rFonts w:hint="eastAsia"/>
          <w:sz w:val="28"/>
          <w:szCs w:val="28"/>
        </w:rPr>
        <w:t>（</w:t>
      </w:r>
      <w:r w:rsidR="00F478C0">
        <w:rPr>
          <w:rFonts w:hint="eastAsia"/>
          <w:sz w:val="28"/>
          <w:szCs w:val="28"/>
        </w:rPr>
        <w:t>201</w:t>
      </w:r>
      <w:r w:rsidR="005A62B7">
        <w:rPr>
          <w:rFonts w:hint="eastAsia"/>
          <w:sz w:val="28"/>
          <w:szCs w:val="28"/>
        </w:rPr>
        <w:t>7</w:t>
      </w:r>
      <w:r w:rsidR="0071034D">
        <w:rPr>
          <w:rFonts w:hint="eastAsia"/>
          <w:sz w:val="28"/>
          <w:szCs w:val="28"/>
        </w:rPr>
        <w:t>年修订）</w:t>
      </w:r>
      <w:r>
        <w:rPr>
          <w:rFonts w:hint="eastAsia"/>
          <w:sz w:val="28"/>
          <w:szCs w:val="28"/>
        </w:rPr>
        <w:t>等有关文件的规定</w:t>
      </w:r>
      <w:r w:rsidR="0019605F">
        <w:rPr>
          <w:rFonts w:hint="eastAsia"/>
          <w:sz w:val="28"/>
          <w:szCs w:val="28"/>
        </w:rPr>
        <w:t>，</w:t>
      </w:r>
      <w:r w:rsidR="00BF445F">
        <w:rPr>
          <w:rFonts w:hint="eastAsia"/>
          <w:sz w:val="28"/>
          <w:szCs w:val="28"/>
        </w:rPr>
        <w:t>并</w:t>
      </w:r>
      <w:r w:rsidR="00782948">
        <w:rPr>
          <w:rFonts w:hint="eastAsia"/>
          <w:sz w:val="28"/>
          <w:szCs w:val="28"/>
        </w:rPr>
        <w:t>结合</w:t>
      </w:r>
      <w:r>
        <w:rPr>
          <w:rFonts w:hint="eastAsia"/>
          <w:sz w:val="28"/>
          <w:szCs w:val="28"/>
        </w:rPr>
        <w:t>我</w:t>
      </w:r>
      <w:r w:rsidR="00BF445F">
        <w:rPr>
          <w:rFonts w:hint="eastAsia"/>
          <w:sz w:val="28"/>
          <w:szCs w:val="28"/>
        </w:rPr>
        <w:t>院</w:t>
      </w:r>
      <w:r w:rsidR="00782948">
        <w:rPr>
          <w:rFonts w:hint="eastAsia"/>
          <w:sz w:val="28"/>
          <w:szCs w:val="28"/>
        </w:rPr>
        <w:t>实际情况，</w:t>
      </w:r>
      <w:r w:rsidR="007C4800">
        <w:rPr>
          <w:rFonts w:hint="eastAsia"/>
          <w:sz w:val="28"/>
          <w:szCs w:val="28"/>
        </w:rPr>
        <w:t>制定本</w:t>
      </w:r>
      <w:r w:rsidR="004B202A">
        <w:rPr>
          <w:rFonts w:hint="eastAsia"/>
          <w:sz w:val="28"/>
          <w:szCs w:val="28"/>
        </w:rPr>
        <w:t>实施细则</w:t>
      </w:r>
      <w:r w:rsidR="0019605F">
        <w:rPr>
          <w:rFonts w:hint="eastAsia"/>
          <w:sz w:val="28"/>
          <w:szCs w:val="28"/>
        </w:rPr>
        <w:t>。</w:t>
      </w:r>
    </w:p>
    <w:p w:rsidR="002919F5" w:rsidRPr="002919F5" w:rsidRDefault="002919F5" w:rsidP="00881DFE">
      <w:pPr>
        <w:ind w:firstLineChars="200" w:firstLine="562"/>
        <w:outlineLvl w:val="0"/>
        <w:rPr>
          <w:b/>
          <w:sz w:val="28"/>
          <w:szCs w:val="28"/>
        </w:rPr>
      </w:pPr>
      <w:r w:rsidRPr="002919F5">
        <w:rPr>
          <w:rFonts w:hint="eastAsia"/>
          <w:b/>
          <w:sz w:val="28"/>
          <w:szCs w:val="28"/>
        </w:rPr>
        <w:t>一、研究生学业奖学金评审委员会</w:t>
      </w:r>
      <w:r w:rsidR="00B12B2D">
        <w:rPr>
          <w:rFonts w:hint="eastAsia"/>
          <w:b/>
          <w:sz w:val="28"/>
          <w:szCs w:val="28"/>
        </w:rPr>
        <w:t>的组成和职责</w:t>
      </w:r>
    </w:p>
    <w:p w:rsidR="0048753B" w:rsidRDefault="002A4BDF" w:rsidP="000D2E7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19605F">
        <w:rPr>
          <w:rFonts w:hint="eastAsia"/>
          <w:sz w:val="28"/>
          <w:szCs w:val="28"/>
        </w:rPr>
        <w:t>人文学院</w:t>
      </w:r>
      <w:r w:rsidR="006B4044">
        <w:rPr>
          <w:rFonts w:hint="eastAsia"/>
          <w:sz w:val="28"/>
          <w:szCs w:val="28"/>
        </w:rPr>
        <w:t>设</w:t>
      </w:r>
      <w:r w:rsidR="0019605F">
        <w:rPr>
          <w:rFonts w:hint="eastAsia"/>
          <w:sz w:val="28"/>
          <w:szCs w:val="28"/>
        </w:rPr>
        <w:t>研究生学业奖学金评审委员会</w:t>
      </w:r>
      <w:r w:rsidR="00C1484F">
        <w:rPr>
          <w:rFonts w:hint="eastAsia"/>
          <w:sz w:val="28"/>
          <w:szCs w:val="28"/>
        </w:rPr>
        <w:t>（以下简称评审委员会）</w:t>
      </w:r>
      <w:r w:rsidR="006B4044">
        <w:rPr>
          <w:rFonts w:hint="eastAsia"/>
          <w:sz w:val="28"/>
          <w:szCs w:val="28"/>
        </w:rPr>
        <w:t>，</w:t>
      </w:r>
      <w:r w:rsidR="006B4044">
        <w:rPr>
          <w:rFonts w:ascii="宋体" w:hAnsi="宋体" w:hint="eastAsia"/>
          <w:color w:val="000000"/>
          <w:sz w:val="28"/>
          <w:szCs w:val="28"/>
        </w:rPr>
        <w:t>在学校</w:t>
      </w:r>
      <w:r w:rsidR="006B4044">
        <w:rPr>
          <w:rFonts w:ascii="宋体" w:hAnsi="宋体"/>
          <w:color w:val="000000"/>
          <w:sz w:val="28"/>
          <w:szCs w:val="28"/>
        </w:rPr>
        <w:t>研究生</w:t>
      </w:r>
      <w:r w:rsidR="006B4044">
        <w:rPr>
          <w:rFonts w:ascii="宋体" w:hAnsi="宋体" w:hint="eastAsia"/>
          <w:color w:val="000000"/>
          <w:sz w:val="28"/>
          <w:szCs w:val="28"/>
        </w:rPr>
        <w:t>学业</w:t>
      </w:r>
      <w:r w:rsidR="006B4044">
        <w:rPr>
          <w:rFonts w:ascii="宋体" w:hAnsi="宋体"/>
          <w:color w:val="000000"/>
          <w:sz w:val="28"/>
          <w:szCs w:val="28"/>
        </w:rPr>
        <w:t>奖学金评审领导小组</w:t>
      </w:r>
      <w:r w:rsidR="006B4044">
        <w:rPr>
          <w:rFonts w:ascii="宋体" w:hAnsi="宋体" w:hint="eastAsia"/>
          <w:color w:val="000000"/>
          <w:sz w:val="28"/>
          <w:szCs w:val="28"/>
        </w:rPr>
        <w:t>指导下进行工作。评审委员会组成如下：</w:t>
      </w:r>
    </w:p>
    <w:p w:rsidR="00633BB6" w:rsidRDefault="00633BB6" w:rsidP="00633BB6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主任：肖倪（学院书记）</w:t>
      </w:r>
    </w:p>
    <w:p w:rsidR="00633BB6" w:rsidRDefault="00633BB6" w:rsidP="00633BB6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0D2E79">
        <w:rPr>
          <w:rFonts w:ascii="Calibri" w:eastAsia="宋体" w:hAnsi="Calibri" w:cs="Times New Roman"/>
          <w:sz w:val="28"/>
          <w:szCs w:val="28"/>
        </w:rPr>
        <w:t>成员</w:t>
      </w:r>
      <w:r>
        <w:rPr>
          <w:rFonts w:ascii="Calibri" w:eastAsia="宋体" w:hAnsi="Calibri" w:cs="Times New Roman" w:hint="eastAsia"/>
          <w:sz w:val="28"/>
          <w:szCs w:val="28"/>
        </w:rPr>
        <w:t>：</w:t>
      </w:r>
      <w:r w:rsidR="00261C72">
        <w:rPr>
          <w:rFonts w:ascii="Calibri" w:eastAsia="宋体" w:hAnsi="Calibri" w:cs="Times New Roman" w:hint="eastAsia"/>
          <w:sz w:val="28"/>
          <w:szCs w:val="28"/>
        </w:rPr>
        <w:t>王生卫</w:t>
      </w:r>
      <w:r>
        <w:rPr>
          <w:rFonts w:ascii="Calibri" w:eastAsia="宋体" w:hAnsi="Calibri" w:cs="Times New Roman" w:hint="eastAsia"/>
          <w:sz w:val="28"/>
          <w:szCs w:val="28"/>
        </w:rPr>
        <w:t>（</w:t>
      </w:r>
      <w:r w:rsidR="00261C72">
        <w:rPr>
          <w:rFonts w:ascii="Calibri" w:eastAsia="宋体" w:hAnsi="Calibri" w:cs="Times New Roman" w:hint="eastAsia"/>
          <w:sz w:val="28"/>
          <w:szCs w:val="28"/>
        </w:rPr>
        <w:t>副书记</w:t>
      </w:r>
      <w:r>
        <w:rPr>
          <w:rFonts w:ascii="Calibri" w:eastAsia="宋体" w:hAnsi="Calibri" w:cs="Times New Roman" w:hint="eastAsia"/>
          <w:sz w:val="28"/>
          <w:szCs w:val="28"/>
        </w:rPr>
        <w:t>）、谢永江（</w:t>
      </w:r>
      <w:r w:rsidRPr="000D2E79">
        <w:rPr>
          <w:rFonts w:ascii="Calibri" w:eastAsia="宋体" w:hAnsi="Calibri" w:cs="Times New Roman"/>
          <w:sz w:val="28"/>
          <w:szCs w:val="28"/>
        </w:rPr>
        <w:t>研究生教学副院长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Pr="000D2E79">
        <w:rPr>
          <w:rFonts w:ascii="Calibri" w:eastAsia="宋体" w:hAnsi="Calibri" w:cs="Times New Roman"/>
          <w:sz w:val="28"/>
          <w:szCs w:val="28"/>
        </w:rPr>
        <w:t>、</w:t>
      </w:r>
      <w:r>
        <w:rPr>
          <w:rFonts w:ascii="Calibri" w:eastAsia="宋体" w:hAnsi="Calibri" w:cs="Times New Roman" w:hint="eastAsia"/>
          <w:sz w:val="28"/>
          <w:szCs w:val="28"/>
        </w:rPr>
        <w:t>卢志鸿（</w:t>
      </w:r>
      <w:r w:rsidRPr="000D2E79">
        <w:rPr>
          <w:rFonts w:ascii="Calibri" w:eastAsia="宋体" w:hAnsi="Calibri" w:cs="Times New Roman"/>
          <w:sz w:val="28"/>
          <w:szCs w:val="28"/>
        </w:rPr>
        <w:t>院学</w:t>
      </w:r>
      <w:r w:rsidRPr="000D2E79">
        <w:rPr>
          <w:rFonts w:ascii="Calibri" w:eastAsia="宋体" w:hAnsi="Calibri" w:cs="Times New Roman" w:hint="eastAsia"/>
          <w:sz w:val="28"/>
          <w:szCs w:val="28"/>
        </w:rPr>
        <w:t>术</w:t>
      </w:r>
      <w:r w:rsidRPr="000D2E79">
        <w:rPr>
          <w:rFonts w:ascii="Calibri" w:eastAsia="宋体" w:hAnsi="Calibri" w:cs="Times New Roman"/>
          <w:sz w:val="28"/>
          <w:szCs w:val="28"/>
        </w:rPr>
        <w:t>委员会委员</w:t>
      </w:r>
      <w:r w:rsidRPr="000D2E79">
        <w:rPr>
          <w:rFonts w:ascii="Calibri" w:eastAsia="宋体" w:hAnsi="Calibri" w:cs="Times New Roman" w:hint="eastAsia"/>
          <w:sz w:val="28"/>
          <w:szCs w:val="28"/>
        </w:rPr>
        <w:t>代表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="00F15DDB">
        <w:rPr>
          <w:rFonts w:ascii="Calibri" w:eastAsia="宋体" w:hAnsi="Calibri" w:cs="Times New Roman" w:hint="eastAsia"/>
          <w:sz w:val="28"/>
          <w:szCs w:val="28"/>
        </w:rPr>
        <w:t>、肖毅敏（纪委委员）</w:t>
      </w:r>
      <w:r w:rsidRPr="000D2E79">
        <w:rPr>
          <w:rFonts w:ascii="Calibri" w:eastAsia="宋体" w:hAnsi="Calibri" w:cs="Times New Roman"/>
          <w:sz w:val="28"/>
          <w:szCs w:val="28"/>
        </w:rPr>
        <w:t>、</w:t>
      </w:r>
      <w:r>
        <w:rPr>
          <w:rFonts w:ascii="Calibri" w:eastAsia="宋体" w:hAnsi="Calibri" w:cs="Times New Roman" w:hint="eastAsia"/>
          <w:sz w:val="28"/>
          <w:szCs w:val="28"/>
        </w:rPr>
        <w:t>左汉卿（</w:t>
      </w:r>
      <w:r w:rsidRPr="000D2E79">
        <w:rPr>
          <w:rFonts w:ascii="Calibri" w:eastAsia="宋体" w:hAnsi="Calibri" w:cs="Times New Roman"/>
          <w:sz w:val="28"/>
          <w:szCs w:val="28"/>
        </w:rPr>
        <w:t>导师代表</w:t>
      </w:r>
      <w:r>
        <w:rPr>
          <w:rFonts w:ascii="Calibri" w:eastAsia="宋体" w:hAnsi="Calibri" w:cs="Times New Roman" w:hint="eastAsia"/>
          <w:sz w:val="28"/>
          <w:szCs w:val="28"/>
        </w:rPr>
        <w:t>）、徐静（</w:t>
      </w:r>
      <w:r w:rsidRPr="000D2E79">
        <w:rPr>
          <w:rFonts w:ascii="Calibri" w:eastAsia="宋体" w:hAnsi="Calibri" w:cs="Times New Roman"/>
          <w:sz w:val="28"/>
          <w:szCs w:val="28"/>
        </w:rPr>
        <w:t>导师代表</w:t>
      </w:r>
      <w:r>
        <w:rPr>
          <w:rFonts w:ascii="Calibri" w:eastAsia="宋体" w:hAnsi="Calibri" w:cs="Times New Roman" w:hint="eastAsia"/>
          <w:sz w:val="28"/>
          <w:szCs w:val="28"/>
        </w:rPr>
        <w:t>）、娄耀雄（</w:t>
      </w:r>
      <w:r w:rsidRPr="000D2E79">
        <w:rPr>
          <w:rFonts w:ascii="Calibri" w:eastAsia="宋体" w:hAnsi="Calibri" w:cs="Times New Roman"/>
          <w:sz w:val="28"/>
          <w:szCs w:val="28"/>
        </w:rPr>
        <w:t>导师代表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Pr="000D2E79">
        <w:rPr>
          <w:rFonts w:ascii="Calibri" w:eastAsia="宋体" w:hAnsi="Calibri" w:cs="Times New Roman" w:hint="eastAsia"/>
          <w:sz w:val="28"/>
          <w:szCs w:val="28"/>
        </w:rPr>
        <w:t>、</w:t>
      </w:r>
      <w:r w:rsidR="00261C72">
        <w:rPr>
          <w:rFonts w:ascii="Calibri" w:eastAsia="宋体" w:hAnsi="Calibri" w:cs="Times New Roman" w:hint="eastAsia"/>
          <w:sz w:val="28"/>
          <w:szCs w:val="28"/>
        </w:rPr>
        <w:t>赵晨</w:t>
      </w:r>
      <w:r>
        <w:rPr>
          <w:rFonts w:ascii="Calibri" w:eastAsia="宋体" w:hAnsi="Calibri" w:cs="Times New Roman" w:hint="eastAsia"/>
          <w:sz w:val="28"/>
          <w:szCs w:val="28"/>
        </w:rPr>
        <w:t>（</w:t>
      </w:r>
      <w:r w:rsidR="00261C72">
        <w:rPr>
          <w:rFonts w:ascii="Calibri" w:eastAsia="宋体" w:hAnsi="Calibri" w:cs="Times New Roman" w:hint="eastAsia"/>
          <w:sz w:val="28"/>
          <w:szCs w:val="28"/>
        </w:rPr>
        <w:t>辅导员</w:t>
      </w:r>
      <w:r>
        <w:rPr>
          <w:rFonts w:ascii="Calibri" w:eastAsia="宋体" w:hAnsi="Calibri" w:cs="Times New Roman" w:hint="eastAsia"/>
          <w:sz w:val="28"/>
          <w:szCs w:val="28"/>
        </w:rPr>
        <w:t>）、</w:t>
      </w:r>
      <w:r w:rsidR="008C4AB9" w:rsidRPr="008C4AB9">
        <w:rPr>
          <w:rFonts w:ascii="Calibri" w:eastAsia="宋体" w:hAnsi="Calibri" w:cs="Times New Roman" w:hint="eastAsia"/>
          <w:sz w:val="28"/>
          <w:szCs w:val="28"/>
        </w:rPr>
        <w:t>许智鑫</w:t>
      </w:r>
      <w:r>
        <w:rPr>
          <w:rFonts w:ascii="Calibri" w:eastAsia="宋体" w:hAnsi="Calibri" w:cs="Times New Roman" w:hint="eastAsia"/>
          <w:sz w:val="28"/>
          <w:szCs w:val="28"/>
        </w:rPr>
        <w:t>（</w:t>
      </w:r>
      <w:r w:rsidRPr="000D2E79">
        <w:rPr>
          <w:rFonts w:ascii="Calibri" w:eastAsia="宋体" w:hAnsi="Calibri" w:cs="Times New Roman" w:hint="eastAsia"/>
          <w:sz w:val="28"/>
          <w:szCs w:val="28"/>
        </w:rPr>
        <w:t>学生代表</w:t>
      </w:r>
      <w:r>
        <w:rPr>
          <w:rFonts w:ascii="Calibri" w:eastAsia="宋体" w:hAnsi="Calibri" w:cs="Times New Roman" w:hint="eastAsia"/>
          <w:sz w:val="28"/>
          <w:szCs w:val="28"/>
        </w:rPr>
        <w:t>）</w:t>
      </w:r>
      <w:r w:rsidRPr="000D2E79">
        <w:rPr>
          <w:rFonts w:ascii="Calibri" w:eastAsia="宋体" w:hAnsi="Calibri" w:cs="Times New Roman" w:hint="eastAsia"/>
          <w:sz w:val="28"/>
          <w:szCs w:val="28"/>
        </w:rPr>
        <w:t>。</w:t>
      </w:r>
      <w:bookmarkStart w:id="0" w:name="_GoBack"/>
      <w:bookmarkEnd w:id="0"/>
    </w:p>
    <w:p w:rsidR="007F1502" w:rsidRDefault="002A4BDF" w:rsidP="000D2E79">
      <w:pPr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（二）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评审委员会负责</w:t>
      </w:r>
      <w:r w:rsidR="00C1484F">
        <w:rPr>
          <w:rFonts w:ascii="Calibri" w:eastAsia="宋体" w:hAnsi="Calibri" w:cs="Times New Roman" w:hint="eastAsia"/>
          <w:sz w:val="28"/>
          <w:szCs w:val="28"/>
        </w:rPr>
        <w:t>我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院研究生学业奖学金</w:t>
      </w:r>
      <w:r w:rsidR="00AE24DB">
        <w:rPr>
          <w:rFonts w:ascii="Calibri" w:eastAsia="宋体" w:hAnsi="Calibri" w:cs="Times New Roman" w:hint="eastAsia"/>
          <w:sz w:val="28"/>
          <w:szCs w:val="28"/>
        </w:rPr>
        <w:t>评审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细则的制定以及相关</w:t>
      </w:r>
      <w:r w:rsidR="000322F9">
        <w:rPr>
          <w:rFonts w:ascii="Calibri" w:eastAsia="宋体" w:hAnsi="Calibri" w:cs="Times New Roman" w:hint="eastAsia"/>
          <w:sz w:val="28"/>
          <w:szCs w:val="28"/>
        </w:rPr>
        <w:t>评审</w:t>
      </w:r>
      <w:r w:rsidR="000D2E79" w:rsidRPr="000D2E79">
        <w:rPr>
          <w:rFonts w:ascii="Calibri" w:eastAsia="宋体" w:hAnsi="Calibri" w:cs="Times New Roman" w:hint="eastAsia"/>
          <w:sz w:val="28"/>
          <w:szCs w:val="28"/>
        </w:rPr>
        <w:t>等工作。</w:t>
      </w:r>
    </w:p>
    <w:p w:rsidR="002919F5" w:rsidRPr="002919F5" w:rsidRDefault="00AE24DB" w:rsidP="00881DFE">
      <w:pPr>
        <w:ind w:firstLineChars="200" w:firstLine="562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E4788A">
        <w:rPr>
          <w:rFonts w:hint="eastAsia"/>
          <w:b/>
          <w:sz w:val="28"/>
          <w:szCs w:val="28"/>
        </w:rPr>
        <w:t>、</w:t>
      </w:r>
      <w:r w:rsidR="002919F5" w:rsidRPr="002919F5">
        <w:rPr>
          <w:rFonts w:hint="eastAsia"/>
          <w:b/>
          <w:sz w:val="28"/>
          <w:szCs w:val="28"/>
        </w:rPr>
        <w:t>奖学金</w:t>
      </w:r>
      <w:r w:rsidR="00B12B2D">
        <w:rPr>
          <w:rFonts w:hint="eastAsia"/>
          <w:b/>
          <w:sz w:val="28"/>
          <w:szCs w:val="28"/>
        </w:rPr>
        <w:t>名额</w:t>
      </w:r>
      <w:r w:rsidR="002919F5" w:rsidRPr="002919F5">
        <w:rPr>
          <w:rFonts w:hint="eastAsia"/>
          <w:b/>
          <w:sz w:val="28"/>
          <w:szCs w:val="28"/>
        </w:rPr>
        <w:t>分配方案</w:t>
      </w:r>
    </w:p>
    <w:p w:rsidR="000D2E79" w:rsidRDefault="008F061C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根据研究生院</w:t>
      </w:r>
      <w:r w:rsidR="008637AD">
        <w:rPr>
          <w:rFonts w:hint="eastAsia"/>
          <w:sz w:val="28"/>
          <w:szCs w:val="28"/>
        </w:rPr>
        <w:t>下发</w:t>
      </w:r>
      <w:r w:rsidR="00C1484F">
        <w:rPr>
          <w:rFonts w:hint="eastAsia"/>
          <w:sz w:val="28"/>
          <w:szCs w:val="28"/>
        </w:rPr>
        <w:t>的</w:t>
      </w:r>
      <w:r w:rsidR="008D34B3" w:rsidRPr="008D34B3" w:rsidDel="00EF6E8B">
        <w:rPr>
          <w:rFonts w:hint="eastAsia"/>
          <w:sz w:val="28"/>
          <w:szCs w:val="28"/>
        </w:rPr>
        <w:t>《</w:t>
      </w:r>
      <w:r w:rsidR="008D34B3" w:rsidRPr="008D34B3">
        <w:rPr>
          <w:rFonts w:hint="eastAsia"/>
          <w:sz w:val="28"/>
          <w:szCs w:val="28"/>
        </w:rPr>
        <w:t>201</w:t>
      </w:r>
      <w:r w:rsidR="00261C72">
        <w:rPr>
          <w:sz w:val="28"/>
          <w:szCs w:val="28"/>
        </w:rPr>
        <w:t>8</w:t>
      </w:r>
      <w:r w:rsidR="008D34B3" w:rsidRPr="008D34B3" w:rsidDel="00EF6E8B">
        <w:rPr>
          <w:rFonts w:hint="eastAsia"/>
          <w:sz w:val="28"/>
          <w:szCs w:val="28"/>
        </w:rPr>
        <w:t>年硕士研究生学业奖学金参评名单及名额</w:t>
      </w:r>
      <w:r w:rsidR="008D34B3" w:rsidRPr="008D34B3">
        <w:rPr>
          <w:rFonts w:hint="eastAsia"/>
          <w:sz w:val="28"/>
          <w:szCs w:val="28"/>
        </w:rPr>
        <w:t>分配</w:t>
      </w:r>
      <w:r w:rsidR="008D34B3" w:rsidRPr="008D34B3" w:rsidDel="00EF6E8B">
        <w:rPr>
          <w:rFonts w:hint="eastAsia"/>
          <w:sz w:val="28"/>
          <w:szCs w:val="28"/>
        </w:rPr>
        <w:t>表》</w:t>
      </w:r>
      <w:r w:rsidR="00A71466">
        <w:rPr>
          <w:rFonts w:hint="eastAsia"/>
          <w:sz w:val="28"/>
          <w:szCs w:val="28"/>
        </w:rPr>
        <w:t>，</w:t>
      </w:r>
      <w:r w:rsidR="008637AD">
        <w:rPr>
          <w:rFonts w:hint="eastAsia"/>
          <w:sz w:val="28"/>
          <w:szCs w:val="28"/>
        </w:rPr>
        <w:t>我</w:t>
      </w:r>
      <w:r w:rsidR="007C4800">
        <w:rPr>
          <w:rFonts w:hint="eastAsia"/>
          <w:sz w:val="28"/>
          <w:szCs w:val="28"/>
        </w:rPr>
        <w:t>院</w:t>
      </w:r>
      <w:r w:rsidR="008637AD">
        <w:rPr>
          <w:rFonts w:hint="eastAsia"/>
          <w:sz w:val="28"/>
          <w:szCs w:val="28"/>
        </w:rPr>
        <w:t>研究生学业</w:t>
      </w:r>
      <w:r w:rsidR="000D2E79">
        <w:rPr>
          <w:rFonts w:hint="eastAsia"/>
          <w:sz w:val="28"/>
          <w:szCs w:val="28"/>
        </w:rPr>
        <w:t>奖学金</w:t>
      </w:r>
      <w:r w:rsidR="008637AD">
        <w:rPr>
          <w:rFonts w:hint="eastAsia"/>
          <w:sz w:val="28"/>
          <w:szCs w:val="28"/>
        </w:rPr>
        <w:t>名额</w:t>
      </w:r>
      <w:r w:rsidR="000D2E79">
        <w:rPr>
          <w:rFonts w:hint="eastAsia"/>
          <w:sz w:val="28"/>
          <w:szCs w:val="28"/>
        </w:rPr>
        <w:t>分配方案如下：</w:t>
      </w:r>
    </w:p>
    <w:tbl>
      <w:tblPr>
        <w:tblW w:w="10360" w:type="dxa"/>
        <w:tblInd w:w="-1015" w:type="dxa"/>
        <w:tblLook w:val="04A0" w:firstRow="1" w:lastRow="0" w:firstColumn="1" w:lastColumn="0" w:noHBand="0" w:noVBand="1"/>
      </w:tblPr>
      <w:tblGrid>
        <w:gridCol w:w="800"/>
        <w:gridCol w:w="858"/>
        <w:gridCol w:w="771"/>
        <w:gridCol w:w="771"/>
        <w:gridCol w:w="858"/>
        <w:gridCol w:w="771"/>
        <w:gridCol w:w="771"/>
        <w:gridCol w:w="824"/>
        <w:gridCol w:w="768"/>
        <w:gridCol w:w="768"/>
        <w:gridCol w:w="858"/>
        <w:gridCol w:w="771"/>
        <w:gridCol w:w="771"/>
      </w:tblGrid>
      <w:tr w:rsidR="008637AD" w:rsidRPr="008637AD" w:rsidTr="008637AD">
        <w:trPr>
          <w:trHeight w:val="40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年级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全院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外国语言文学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翻译</w:t>
            </w:r>
            <w:r w:rsidR="0077303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硕士</w:t>
            </w:r>
          </w:p>
        </w:tc>
      </w:tr>
      <w:tr w:rsidR="008637AD" w:rsidRPr="008637AD" w:rsidTr="004251EA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7AD" w:rsidRPr="008637AD" w:rsidRDefault="008637AD" w:rsidP="008637A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学生总数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二等</w:t>
            </w:r>
          </w:p>
        </w:tc>
      </w:tr>
      <w:tr w:rsidR="008637AD" w:rsidRPr="008637AD" w:rsidTr="004251EA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427B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413C5F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2AB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F70BBB" w:rsidRPr="006802AB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F70BBB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23550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413C5F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="00B23550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B23550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413C5F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23550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B23550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37AD" w:rsidRPr="008637AD" w:rsidTr="004251EA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427B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413C5F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="00210FD3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013758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013758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="00F84260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="00013758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C53C22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 w:rsidR="008637AD" w:rsidRPr="008637AD" w:rsidTr="004251EA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</w:t>
            </w:r>
            <w:r w:rsidR="00427B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0266BB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413C5F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637AD" w:rsidRPr="008637AD" w:rsidRDefault="008637AD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7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0266BB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116032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116032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521961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116032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8637AD" w:rsidRPr="008637AD" w:rsidRDefault="004251EA" w:rsidP="008637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71034D" w:rsidRPr="0071034D" w:rsidRDefault="00AE24DB" w:rsidP="0071034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71034D" w:rsidRPr="0071034D">
        <w:rPr>
          <w:rFonts w:hint="eastAsia"/>
          <w:b/>
          <w:sz w:val="28"/>
          <w:szCs w:val="28"/>
        </w:rPr>
        <w:t>、申请条件</w:t>
      </w:r>
    </w:p>
    <w:p w:rsidR="0027751B" w:rsidRDefault="002A4BDF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71034D">
        <w:rPr>
          <w:rFonts w:hint="eastAsia"/>
          <w:sz w:val="28"/>
          <w:szCs w:val="28"/>
        </w:rPr>
        <w:t>申请人应符合《北京邮电大学研究生学业奖学金实施细则》规定的条件。</w:t>
      </w:r>
    </w:p>
    <w:p w:rsidR="00AE24DB" w:rsidRDefault="0027751B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 w:rsidR="002A4BD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申请人只需要就</w:t>
      </w:r>
      <w:r w:rsidR="00DE1CDB">
        <w:rPr>
          <w:rFonts w:hint="eastAsia"/>
          <w:sz w:val="28"/>
          <w:szCs w:val="28"/>
        </w:rPr>
        <w:t>一等奖学金</w:t>
      </w:r>
      <w:r>
        <w:rPr>
          <w:rFonts w:hint="eastAsia"/>
          <w:sz w:val="28"/>
          <w:szCs w:val="28"/>
        </w:rPr>
        <w:t>提出申请</w:t>
      </w:r>
      <w:r w:rsidR="00DE1CDB">
        <w:rPr>
          <w:rFonts w:hint="eastAsia"/>
          <w:sz w:val="28"/>
          <w:szCs w:val="28"/>
        </w:rPr>
        <w:t>，二等奖学金无须</w:t>
      </w:r>
      <w:r>
        <w:rPr>
          <w:rFonts w:hint="eastAsia"/>
          <w:sz w:val="28"/>
          <w:szCs w:val="28"/>
        </w:rPr>
        <w:t>提出</w:t>
      </w:r>
      <w:r w:rsidR="00DE1CDB">
        <w:rPr>
          <w:rFonts w:hint="eastAsia"/>
          <w:sz w:val="28"/>
          <w:szCs w:val="28"/>
        </w:rPr>
        <w:t>申请。</w:t>
      </w:r>
    </w:p>
    <w:p w:rsidR="0027751B" w:rsidRDefault="00AE24DB" w:rsidP="002775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7751B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C360CF">
        <w:rPr>
          <w:rFonts w:hint="eastAsia"/>
          <w:sz w:val="28"/>
          <w:szCs w:val="28"/>
        </w:rPr>
        <w:t>201</w:t>
      </w:r>
      <w:r w:rsidR="00261C72">
        <w:rPr>
          <w:sz w:val="28"/>
          <w:szCs w:val="28"/>
        </w:rPr>
        <w:t>8</w:t>
      </w:r>
      <w:r w:rsidR="00C360CF">
        <w:rPr>
          <w:rFonts w:hint="eastAsia"/>
          <w:sz w:val="28"/>
          <w:szCs w:val="28"/>
        </w:rPr>
        <w:t>级研究生</w:t>
      </w:r>
      <w:r w:rsidR="00B32D32">
        <w:rPr>
          <w:rFonts w:hint="eastAsia"/>
          <w:sz w:val="28"/>
          <w:szCs w:val="28"/>
        </w:rPr>
        <w:t>根据入学方式和成绩统一评定，</w:t>
      </w:r>
      <w:r w:rsidR="00C360CF">
        <w:rPr>
          <w:rFonts w:hint="eastAsia"/>
          <w:sz w:val="28"/>
          <w:szCs w:val="28"/>
        </w:rPr>
        <w:t>无须提交申请。</w:t>
      </w:r>
    </w:p>
    <w:p w:rsidR="00DE1CDB" w:rsidRDefault="0027751B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（四）已获得</w:t>
      </w:r>
      <w:r>
        <w:rPr>
          <w:rFonts w:hint="eastAsia"/>
          <w:sz w:val="28"/>
          <w:szCs w:val="28"/>
        </w:rPr>
        <w:t>201</w:t>
      </w:r>
      <w:r w:rsidR="00261C72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Pr="00A51C42">
        <w:rPr>
          <w:rFonts w:hint="eastAsia"/>
          <w:sz w:val="28"/>
          <w:szCs w:val="28"/>
        </w:rPr>
        <w:t>研究生国家奖学金</w:t>
      </w:r>
      <w:r w:rsidR="00261C72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“亨通光电”奖学金</w:t>
      </w:r>
      <w:r w:rsidRPr="00A51C4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同学</w:t>
      </w:r>
      <w:r w:rsidRPr="00A51C42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申请</w:t>
      </w:r>
      <w:r w:rsidRPr="00A51C42">
        <w:rPr>
          <w:rFonts w:hint="eastAsia"/>
          <w:sz w:val="28"/>
          <w:szCs w:val="28"/>
        </w:rPr>
        <w:t>参评学业奖学金，但学术成果不得重复使用</w:t>
      </w:r>
      <w:r>
        <w:rPr>
          <w:rFonts w:hint="eastAsia"/>
          <w:sz w:val="28"/>
          <w:szCs w:val="28"/>
        </w:rPr>
        <w:t>。</w:t>
      </w:r>
    </w:p>
    <w:p w:rsidR="0071034D" w:rsidRPr="0071034D" w:rsidRDefault="00904DDC" w:rsidP="0071034D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71034D" w:rsidRPr="0071034D">
        <w:rPr>
          <w:rFonts w:hint="eastAsia"/>
          <w:b/>
          <w:sz w:val="28"/>
          <w:szCs w:val="28"/>
        </w:rPr>
        <w:t>、评定标准</w:t>
      </w:r>
    </w:p>
    <w:p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8C32F9">
        <w:rPr>
          <w:rFonts w:hint="eastAsia"/>
          <w:sz w:val="28"/>
          <w:szCs w:val="28"/>
        </w:rPr>
        <w:t>一年级</w:t>
      </w:r>
      <w:r w:rsidR="0071034D">
        <w:rPr>
          <w:rFonts w:hint="eastAsia"/>
          <w:sz w:val="28"/>
          <w:szCs w:val="28"/>
        </w:rPr>
        <w:t>研究生学业奖学金等级按照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以下原则进行评定：</w:t>
      </w:r>
    </w:p>
    <w:p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以推荐免试</w:t>
      </w:r>
      <w:r w:rsidR="00B32D32">
        <w:rPr>
          <w:rFonts w:ascii="Calibri" w:eastAsia="宋体" w:hAnsi="Calibri" w:cs="Times New Roman" w:hint="eastAsia"/>
          <w:sz w:val="28"/>
          <w:szCs w:val="28"/>
        </w:rPr>
        <w:t>方式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入学的硕士研究生享受一等学业奖学金</w:t>
      </w:r>
      <w:r w:rsidR="00B3206B">
        <w:rPr>
          <w:rFonts w:hint="eastAsia"/>
          <w:sz w:val="28"/>
          <w:szCs w:val="28"/>
        </w:rPr>
        <w:t>；</w:t>
      </w:r>
    </w:p>
    <w:p w:rsidR="00B3206B" w:rsidRPr="00B3206B" w:rsidRDefault="002A4BDF" w:rsidP="00B3206B">
      <w:pPr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少数民族骨干计划研究生</w:t>
      </w:r>
      <w:r w:rsidR="00B3206B">
        <w:rPr>
          <w:rFonts w:hint="eastAsia"/>
          <w:sz w:val="28"/>
          <w:szCs w:val="28"/>
        </w:rPr>
        <w:t>享受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一等学业奖学金；</w:t>
      </w:r>
    </w:p>
    <w:p w:rsidR="00B3206B" w:rsidRPr="00B82192" w:rsidRDefault="002A4BDF" w:rsidP="00B3206B">
      <w:pPr>
        <w:ind w:firstLineChars="200" w:firstLine="560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参加行政保</w:t>
      </w:r>
      <w:proofErr w:type="gramStart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研</w:t>
      </w:r>
      <w:proofErr w:type="gramEnd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、研究生</w:t>
      </w:r>
      <w:proofErr w:type="gramStart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支教团推免专</w:t>
      </w:r>
      <w:proofErr w:type="gramEnd"/>
      <w:r w:rsidR="00B3206B" w:rsidRPr="00B3206B">
        <w:rPr>
          <w:rFonts w:ascii="Calibri" w:eastAsia="宋体" w:hAnsi="Calibri" w:cs="Times New Roman" w:hint="eastAsia"/>
          <w:sz w:val="28"/>
          <w:szCs w:val="28"/>
        </w:rPr>
        <w:t>项计划研究生，开始正式学习的第一年</w:t>
      </w:r>
      <w:r w:rsidR="00B3206B">
        <w:rPr>
          <w:rFonts w:hint="eastAsia"/>
          <w:sz w:val="28"/>
          <w:szCs w:val="28"/>
        </w:rPr>
        <w:t>享受</w:t>
      </w:r>
      <w:r w:rsidR="00B3206B" w:rsidRPr="00B3206B">
        <w:rPr>
          <w:rFonts w:ascii="Calibri" w:eastAsia="宋体" w:hAnsi="Calibri" w:cs="Times New Roman" w:hint="eastAsia"/>
          <w:sz w:val="28"/>
          <w:szCs w:val="28"/>
        </w:rPr>
        <w:t>一等学业奖学金；</w:t>
      </w:r>
    </w:p>
    <w:p w:rsidR="00B3206B" w:rsidRDefault="00B3206B" w:rsidP="00B3206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A4BDF">
        <w:rPr>
          <w:rFonts w:hint="eastAsia"/>
          <w:sz w:val="28"/>
          <w:szCs w:val="28"/>
        </w:rPr>
        <w:t>、</w:t>
      </w:r>
      <w:r w:rsidRPr="00B3206B">
        <w:rPr>
          <w:rFonts w:ascii="Calibri" w:eastAsia="宋体" w:hAnsi="Calibri" w:cs="Times New Roman" w:hint="eastAsia"/>
          <w:sz w:val="28"/>
          <w:szCs w:val="28"/>
        </w:rPr>
        <w:t>一等学业奖学金优先考虑第一志愿</w:t>
      </w:r>
      <w:proofErr w:type="gramStart"/>
      <w:r w:rsidRPr="00B3206B">
        <w:rPr>
          <w:rFonts w:ascii="Calibri" w:eastAsia="宋体" w:hAnsi="Calibri" w:cs="Times New Roman" w:hint="eastAsia"/>
          <w:sz w:val="28"/>
          <w:szCs w:val="28"/>
        </w:rPr>
        <w:t>报考北邮的</w:t>
      </w:r>
      <w:proofErr w:type="gramEnd"/>
      <w:r w:rsidRPr="00B3206B">
        <w:rPr>
          <w:rFonts w:ascii="Calibri" w:eastAsia="宋体" w:hAnsi="Calibri" w:cs="Times New Roman" w:hint="eastAsia"/>
          <w:sz w:val="28"/>
          <w:szCs w:val="28"/>
        </w:rPr>
        <w:t>硕士研究生；</w:t>
      </w:r>
    </w:p>
    <w:p w:rsidR="00B3206B" w:rsidRPr="00B3206B" w:rsidRDefault="00B3206B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A4BDF">
        <w:rPr>
          <w:rFonts w:hint="eastAsia"/>
          <w:sz w:val="28"/>
          <w:szCs w:val="28"/>
        </w:rPr>
        <w:t>、</w:t>
      </w:r>
      <w:r w:rsidR="006C1FEB">
        <w:rPr>
          <w:rFonts w:hint="eastAsia"/>
          <w:sz w:val="28"/>
          <w:szCs w:val="28"/>
        </w:rPr>
        <w:t>相同情况</w:t>
      </w:r>
      <w:r>
        <w:rPr>
          <w:rFonts w:hint="eastAsia"/>
          <w:sz w:val="28"/>
          <w:szCs w:val="28"/>
        </w:rPr>
        <w:t>按</w:t>
      </w:r>
      <w:r w:rsidR="006C1FEB">
        <w:rPr>
          <w:rFonts w:hint="eastAsia"/>
          <w:sz w:val="28"/>
          <w:szCs w:val="28"/>
        </w:rPr>
        <w:t>入学考试</w:t>
      </w:r>
      <w:r>
        <w:rPr>
          <w:rFonts w:hint="eastAsia"/>
          <w:sz w:val="28"/>
          <w:szCs w:val="28"/>
        </w:rPr>
        <w:t>复试成绩排序，得分高者优先获得</w:t>
      </w:r>
      <w:r w:rsidRPr="00B3206B">
        <w:rPr>
          <w:rFonts w:ascii="Calibri" w:eastAsia="宋体" w:hAnsi="Calibri" w:cs="Times New Roman" w:hint="eastAsia"/>
          <w:sz w:val="28"/>
          <w:szCs w:val="28"/>
        </w:rPr>
        <w:t>一等学业奖学金</w:t>
      </w:r>
      <w:r>
        <w:rPr>
          <w:rFonts w:hint="eastAsia"/>
          <w:sz w:val="28"/>
          <w:szCs w:val="28"/>
        </w:rPr>
        <w:t>。</w:t>
      </w:r>
    </w:p>
    <w:p w:rsidR="0071034D" w:rsidRDefault="002A4BDF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（二）</w:t>
      </w:r>
      <w:r w:rsidR="008C32F9">
        <w:rPr>
          <w:rFonts w:hint="eastAsia"/>
          <w:sz w:val="28"/>
          <w:szCs w:val="28"/>
        </w:rPr>
        <w:t>二年级</w:t>
      </w:r>
      <w:r w:rsidR="0071034D">
        <w:rPr>
          <w:rFonts w:hint="eastAsia"/>
          <w:sz w:val="28"/>
          <w:szCs w:val="28"/>
        </w:rPr>
        <w:t>研究生</w:t>
      </w:r>
      <w:r w:rsidR="008C32F9">
        <w:rPr>
          <w:rFonts w:hint="eastAsia"/>
          <w:sz w:val="28"/>
          <w:szCs w:val="28"/>
        </w:rPr>
        <w:t>按照</w:t>
      </w:r>
      <w:r w:rsidR="0071034D">
        <w:rPr>
          <w:rFonts w:hint="eastAsia"/>
          <w:sz w:val="28"/>
          <w:szCs w:val="28"/>
        </w:rPr>
        <w:t>学习成绩</w:t>
      </w:r>
      <w:r w:rsidR="008C32F9">
        <w:rPr>
          <w:rFonts w:hint="eastAsia"/>
          <w:sz w:val="28"/>
          <w:szCs w:val="28"/>
        </w:rPr>
        <w:t>分数</w:t>
      </w:r>
      <w:r w:rsidR="0071034D">
        <w:rPr>
          <w:rFonts w:hint="eastAsia"/>
          <w:sz w:val="28"/>
          <w:szCs w:val="28"/>
        </w:rPr>
        <w:t>和科研成果</w:t>
      </w:r>
      <w:r w:rsidR="008C32F9">
        <w:rPr>
          <w:rFonts w:hint="eastAsia"/>
          <w:sz w:val="28"/>
          <w:szCs w:val="28"/>
        </w:rPr>
        <w:t>分数之和计算，按得分高低排序</w:t>
      </w:r>
      <w:r w:rsidR="0071034D">
        <w:rPr>
          <w:rFonts w:hint="eastAsia"/>
          <w:sz w:val="28"/>
          <w:szCs w:val="28"/>
        </w:rPr>
        <w:t>。其中：学习成绩按</w:t>
      </w:r>
      <w:r w:rsidR="00633BB6">
        <w:rPr>
          <w:rFonts w:hint="eastAsia"/>
          <w:sz w:val="28"/>
          <w:szCs w:val="28"/>
        </w:rPr>
        <w:t>已修课程（不以百分制计分的课程除外）加权</w:t>
      </w:r>
      <w:r w:rsidR="0071034D">
        <w:rPr>
          <w:rFonts w:hint="eastAsia"/>
          <w:sz w:val="28"/>
          <w:szCs w:val="28"/>
        </w:rPr>
        <w:t>平均成绩计算；科研成果</w:t>
      </w:r>
      <w:r w:rsidR="008C32F9">
        <w:rPr>
          <w:rFonts w:hint="eastAsia"/>
          <w:sz w:val="28"/>
          <w:szCs w:val="28"/>
        </w:rPr>
        <w:t>得分</w:t>
      </w:r>
      <w:r w:rsidR="00DE1CDB">
        <w:rPr>
          <w:rFonts w:hint="eastAsia"/>
          <w:sz w:val="28"/>
          <w:szCs w:val="28"/>
        </w:rPr>
        <w:t>参照</w:t>
      </w:r>
      <w:r w:rsidR="0071034D">
        <w:rPr>
          <w:rFonts w:hint="eastAsia"/>
          <w:sz w:val="28"/>
          <w:szCs w:val="28"/>
        </w:rPr>
        <w:t>国家奖学金的评定标准</w:t>
      </w:r>
      <w:r w:rsidR="009F6736">
        <w:rPr>
          <w:rFonts w:hint="eastAsia"/>
          <w:sz w:val="28"/>
          <w:szCs w:val="28"/>
        </w:rPr>
        <w:t>计算</w:t>
      </w:r>
      <w:r w:rsidR="0071034D">
        <w:rPr>
          <w:rFonts w:hint="eastAsia"/>
          <w:sz w:val="28"/>
          <w:szCs w:val="28"/>
        </w:rPr>
        <w:t>。</w:t>
      </w:r>
    </w:p>
    <w:p w:rsidR="00633BB6" w:rsidRDefault="00FF6467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已修</w:t>
      </w:r>
      <w:r w:rsidR="00633BB6">
        <w:rPr>
          <w:rFonts w:hint="eastAsia"/>
          <w:sz w:val="28"/>
          <w:szCs w:val="28"/>
        </w:rPr>
        <w:t>课程加权平均成绩计算公式如下：</w:t>
      </w:r>
    </w:p>
    <w:p w:rsidR="00633BB6" w:rsidRPr="00633BB6" w:rsidRDefault="00633BB6" w:rsidP="00633BB6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t>加权平均</w:t>
      </w:r>
      <w:r w:rsidR="00FF6467">
        <w:rPr>
          <w:rFonts w:hint="eastAsia"/>
          <w:sz w:val="28"/>
          <w:szCs w:val="28"/>
        </w:rPr>
        <w:t>成绩</w:t>
      </w:r>
      <w:r w:rsidRPr="00633BB6">
        <w:rPr>
          <w:rFonts w:hint="eastAsia"/>
          <w:sz w:val="28"/>
          <w:szCs w:val="28"/>
        </w:rPr>
        <w:t>=(k1*a1+k2*a2+k3*a3+....+</w:t>
      </w:r>
      <w:proofErr w:type="spellStart"/>
      <w:r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>*an)/(k1+k2+k3+...+</w:t>
      </w:r>
      <w:proofErr w:type="spellStart"/>
      <w:r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 xml:space="preserve">) </w:t>
      </w:r>
    </w:p>
    <w:p w:rsidR="00633BB6" w:rsidRDefault="00633BB6" w:rsidP="00633BB6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t>其中</w:t>
      </w:r>
      <w:r w:rsidR="00761DB6">
        <w:rPr>
          <w:rFonts w:hint="eastAsia"/>
          <w:sz w:val="28"/>
          <w:szCs w:val="28"/>
        </w:rPr>
        <w:t>：</w:t>
      </w:r>
      <w:r w:rsidRPr="00633BB6">
        <w:rPr>
          <w:sz w:val="28"/>
          <w:szCs w:val="28"/>
        </w:rPr>
        <w:t>K1,k2,k3</w:t>
      </w:r>
      <w:r w:rsidRPr="00633BB6">
        <w:rPr>
          <w:rFonts w:ascii="Cambria Math" w:hAnsi="Cambria Math" w:cs="Cambria Math"/>
          <w:sz w:val="28"/>
          <w:szCs w:val="28"/>
        </w:rPr>
        <w:t>⋯</w:t>
      </w:r>
      <w:r w:rsidR="00761DB6" w:rsidRPr="00761DB6">
        <w:rPr>
          <w:rFonts w:hint="eastAsia"/>
          <w:sz w:val="28"/>
          <w:szCs w:val="28"/>
        </w:rPr>
        <w:t xml:space="preserve"> </w:t>
      </w:r>
      <w:proofErr w:type="spellStart"/>
      <w:r w:rsidR="00761DB6" w:rsidRPr="00633BB6">
        <w:rPr>
          <w:rFonts w:hint="eastAsia"/>
          <w:sz w:val="28"/>
          <w:szCs w:val="28"/>
        </w:rPr>
        <w:t>kn</w:t>
      </w:r>
      <w:proofErr w:type="spellEnd"/>
      <w:r w:rsidRPr="00633BB6">
        <w:rPr>
          <w:rFonts w:hint="eastAsia"/>
          <w:sz w:val="28"/>
          <w:szCs w:val="28"/>
        </w:rPr>
        <w:t>是每</w:t>
      </w:r>
      <w:r w:rsidR="00761DB6">
        <w:rPr>
          <w:rFonts w:hint="eastAsia"/>
          <w:sz w:val="28"/>
          <w:szCs w:val="28"/>
        </w:rPr>
        <w:t>门课程的学分</w:t>
      </w:r>
      <w:r>
        <w:rPr>
          <w:rFonts w:hint="eastAsia"/>
          <w:sz w:val="28"/>
          <w:szCs w:val="28"/>
        </w:rPr>
        <w:t>；</w:t>
      </w:r>
      <w:r w:rsidRPr="00633BB6">
        <w:rPr>
          <w:sz w:val="28"/>
          <w:szCs w:val="28"/>
        </w:rPr>
        <w:t>a1,a2,a3</w:t>
      </w:r>
      <w:r w:rsidRPr="00633BB6">
        <w:rPr>
          <w:rFonts w:ascii="Cambria Math" w:hAnsi="Cambria Math" w:cs="Cambria Math"/>
          <w:sz w:val="28"/>
          <w:szCs w:val="28"/>
        </w:rPr>
        <w:t>⋯</w:t>
      </w:r>
      <w:r w:rsidR="00761DB6" w:rsidRPr="00761DB6">
        <w:rPr>
          <w:rFonts w:hint="eastAsia"/>
          <w:sz w:val="28"/>
          <w:szCs w:val="28"/>
        </w:rPr>
        <w:t xml:space="preserve"> </w:t>
      </w:r>
      <w:r w:rsidR="00761DB6" w:rsidRPr="00633BB6">
        <w:rPr>
          <w:rFonts w:hint="eastAsia"/>
          <w:sz w:val="28"/>
          <w:szCs w:val="28"/>
        </w:rPr>
        <w:t>an</w:t>
      </w:r>
      <w:r w:rsidRPr="00633BB6">
        <w:rPr>
          <w:rFonts w:hint="eastAsia"/>
          <w:sz w:val="28"/>
          <w:szCs w:val="28"/>
        </w:rPr>
        <w:t>是该课程的成绩</w:t>
      </w:r>
    </w:p>
    <w:p w:rsidR="008C32F9" w:rsidRPr="0071034D" w:rsidRDefault="008C32F9" w:rsidP="0019605F">
      <w:pPr>
        <w:ind w:firstLineChars="200" w:firstLine="560"/>
        <w:rPr>
          <w:sz w:val="28"/>
          <w:szCs w:val="28"/>
        </w:rPr>
      </w:pPr>
      <w:r w:rsidRPr="00633BB6">
        <w:rPr>
          <w:rFonts w:hint="eastAsia"/>
          <w:sz w:val="28"/>
          <w:szCs w:val="28"/>
        </w:rPr>
        <w:t>（三）三年级研究生按照科研成果得分计算，按得分高低排序。科研成果得分参照国家奖学金的评定标准计算</w:t>
      </w:r>
      <w:r w:rsidR="00761DB6">
        <w:rPr>
          <w:rFonts w:hint="eastAsia"/>
          <w:sz w:val="28"/>
          <w:szCs w:val="28"/>
        </w:rPr>
        <w:t>；科研得分相同的，按照</w:t>
      </w:r>
      <w:r w:rsidR="009B599F">
        <w:rPr>
          <w:rFonts w:hint="eastAsia"/>
          <w:sz w:val="28"/>
          <w:szCs w:val="28"/>
        </w:rPr>
        <w:t>已修</w:t>
      </w:r>
      <w:r w:rsidR="00761DB6">
        <w:rPr>
          <w:rFonts w:hint="eastAsia"/>
          <w:sz w:val="28"/>
          <w:szCs w:val="28"/>
        </w:rPr>
        <w:t>课程加权平均成绩排序</w:t>
      </w:r>
      <w:r w:rsidRPr="00633BB6">
        <w:rPr>
          <w:rFonts w:hint="eastAsia"/>
          <w:sz w:val="28"/>
          <w:szCs w:val="28"/>
        </w:rPr>
        <w:t>。</w:t>
      </w:r>
    </w:p>
    <w:p w:rsidR="008637AD" w:rsidRDefault="00904DDC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</w:t>
      </w:r>
      <w:r w:rsidR="000A31F0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8637AD">
        <w:rPr>
          <w:rFonts w:ascii="宋体" w:hAnsi="宋体" w:hint="eastAsia"/>
          <w:b/>
          <w:color w:val="000000"/>
          <w:sz w:val="28"/>
          <w:szCs w:val="28"/>
        </w:rPr>
        <w:t>申请材料</w:t>
      </w:r>
    </w:p>
    <w:p w:rsidR="008637AD" w:rsidRPr="00D622E6" w:rsidRDefault="008637AD" w:rsidP="008637A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拟申请一等奖学金的同学填写《研究生学业奖学金申报成果情况表》（见附件）书面版，</w:t>
      </w:r>
      <w:r w:rsidR="00254E3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并提交</w:t>
      </w: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成果支撑材料。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相关支撑材料要求如下：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（1）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发表论文的，提交期刊原件，并提交期刊封面、含论文的目录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页以及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论文复印件一份。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（2）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出版著作的，提交著作原件，并提交著作封面、版权页、体现申请人贡献的作者分工页复印件一份。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（3）获得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专利、软件著作权的，提交专利、软件著作权证书原件和复印件一份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（4）获奖的，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提交获奖证书原件和复印件一份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637AD" w:rsidRDefault="008637AD" w:rsidP="008637A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（5）参与科研的，由课题负责人签字；主张科研排名的，应提交结题证明等材料的原件和复印件一份；没有结题证明或未结项的，</w:t>
      </w:r>
      <w:r w:rsidR="00904DD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仅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以参与科研论。</w:t>
      </w:r>
    </w:p>
    <w:p w:rsidR="008637AD" w:rsidRDefault="008637AD" w:rsidP="008637AD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（6）有其他特殊贡献的，提交相应证明原件和复印件一份。</w:t>
      </w:r>
    </w:p>
    <w:p w:rsidR="008637AD" w:rsidRDefault="008637AD" w:rsidP="008637AD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以上材料的原件，在评奖结束后退回申请人。</w:t>
      </w:r>
    </w:p>
    <w:p w:rsidR="00277BD1" w:rsidRPr="000C0FA8" w:rsidRDefault="00277BD1" w:rsidP="00277BD1">
      <w:pPr>
        <w:widowControl/>
        <w:shd w:val="clear" w:color="auto" w:fill="FFFFFF"/>
        <w:spacing w:line="360" w:lineRule="auto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B3D3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申请材料</w:t>
      </w:r>
      <w:proofErr w:type="gramStart"/>
      <w:r w:rsidRPr="007B3D3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提交至教一</w:t>
      </w:r>
      <w:proofErr w:type="gramEnd"/>
      <w:r w:rsidRPr="007B3D3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楼31</w:t>
      </w:r>
      <w:r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7</w:t>
      </w:r>
      <w:r w:rsidRPr="007B3D3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秦老师，电话：010-62282</w:t>
      </w:r>
      <w:r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970</w:t>
      </w:r>
      <w:r w:rsidRPr="007B3D3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。</w:t>
      </w:r>
    </w:p>
    <w:p w:rsidR="00277BD1" w:rsidRDefault="00277BD1" w:rsidP="00277BD1">
      <w:pPr>
        <w:ind w:firstLineChars="200" w:firstLine="562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F93A30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提交申请材料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截止</w:t>
      </w:r>
      <w:r w:rsidRPr="00F93A30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时间：201</w:t>
      </w:r>
      <w:r>
        <w:rPr>
          <w:rFonts w:ascii="宋体" w:eastAsia="宋体" w:hAnsi="宋体" w:cs="Times New Roman"/>
          <w:b/>
          <w:color w:val="FF0000"/>
          <w:sz w:val="28"/>
          <w:szCs w:val="28"/>
        </w:rPr>
        <w:t>8</w:t>
      </w:r>
      <w:r w:rsidRPr="00F93A30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年1</w:t>
      </w:r>
      <w:r>
        <w:rPr>
          <w:rFonts w:ascii="宋体" w:hAnsi="宋体"/>
          <w:b/>
          <w:color w:val="FF0000"/>
          <w:sz w:val="28"/>
          <w:szCs w:val="28"/>
        </w:rPr>
        <w:t>0</w:t>
      </w:r>
      <w:r w:rsidRPr="00F93A30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月</w:t>
      </w:r>
      <w:r w:rsidR="00AF50C2">
        <w:rPr>
          <w:rFonts w:ascii="宋体" w:eastAsia="宋体" w:hAnsi="宋体" w:cs="Times New Roman"/>
          <w:b/>
          <w:color w:val="FF0000"/>
          <w:sz w:val="28"/>
          <w:szCs w:val="28"/>
        </w:rPr>
        <w:t>9</w:t>
      </w:r>
      <w:r w:rsidRPr="00F93A30">
        <w:rPr>
          <w:rFonts w:ascii="宋体" w:eastAsia="宋体" w:hAnsi="宋体" w:cs="Times New Roman" w:hint="eastAsia"/>
          <w:b/>
          <w:color w:val="FF0000"/>
          <w:sz w:val="28"/>
          <w:szCs w:val="28"/>
        </w:rPr>
        <w:t>日1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6</w:t>
      </w:r>
      <w:r w:rsidRPr="00F93A30">
        <w:rPr>
          <w:rFonts w:ascii="宋体" w:eastAsia="宋体" w:hAnsi="宋体" w:cs="Times New Roman" w:hint="eastAsia"/>
          <w:b/>
          <w:color w:val="FF0000"/>
          <w:sz w:val="28"/>
          <w:szCs w:val="28"/>
        </w:rPr>
        <w:t>:00</w:t>
      </w:r>
      <w:r>
        <w:rPr>
          <w:rFonts w:ascii="宋体" w:hAnsi="宋体" w:hint="eastAsia"/>
          <w:b/>
          <w:color w:val="FF0000"/>
          <w:sz w:val="28"/>
          <w:szCs w:val="28"/>
        </w:rPr>
        <w:t>；超过截止时间补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交申请材料的，应提交书面说明</w:t>
      </w:r>
      <w:r w:rsidR="00184CDD">
        <w:rPr>
          <w:rFonts w:ascii="宋体" w:hAnsi="宋体" w:hint="eastAsia"/>
          <w:b/>
          <w:color w:val="FF0000"/>
          <w:sz w:val="28"/>
          <w:szCs w:val="28"/>
        </w:rPr>
        <w:t>；评审会议开始后不再接受补充材料</w:t>
      </w:r>
      <w:r>
        <w:rPr>
          <w:rFonts w:ascii="宋体" w:eastAsia="宋体" w:hAnsi="宋体" w:cs="Times New Roman" w:hint="eastAsia"/>
          <w:b/>
          <w:color w:val="FF0000"/>
          <w:sz w:val="28"/>
          <w:szCs w:val="28"/>
        </w:rPr>
        <w:t>。</w:t>
      </w:r>
    </w:p>
    <w:p w:rsidR="00D9712A" w:rsidRDefault="00904DDC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</w:t>
      </w:r>
      <w:r w:rsidR="008637AD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D9712A">
        <w:rPr>
          <w:rFonts w:ascii="宋体" w:hAnsi="宋体" w:hint="eastAsia"/>
          <w:b/>
          <w:color w:val="000000"/>
          <w:sz w:val="28"/>
          <w:szCs w:val="28"/>
        </w:rPr>
        <w:t>评审程序</w:t>
      </w:r>
    </w:p>
    <w:p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 w:rsidRPr="00D9712A">
        <w:rPr>
          <w:rFonts w:ascii="宋体" w:hAnsi="宋体" w:hint="eastAsia"/>
          <w:color w:val="000000"/>
          <w:sz w:val="28"/>
          <w:szCs w:val="28"/>
        </w:rPr>
        <w:t>（一）学院根据《北京邮电大学研究生学业奖学金实施细则》（2017年修订）和本评审实施细则组织</w:t>
      </w:r>
      <w:r w:rsidR="00904DDC">
        <w:rPr>
          <w:rFonts w:ascii="宋体" w:hAnsi="宋体" w:hint="eastAsia"/>
          <w:color w:val="000000"/>
          <w:sz w:val="28"/>
          <w:szCs w:val="28"/>
        </w:rPr>
        <w:t>奖学金</w:t>
      </w:r>
      <w:r w:rsidRPr="00D9712A">
        <w:rPr>
          <w:rFonts w:ascii="宋体" w:hAnsi="宋体" w:hint="eastAsia"/>
          <w:color w:val="000000"/>
          <w:sz w:val="28"/>
          <w:szCs w:val="28"/>
        </w:rPr>
        <w:t>评审工作。</w:t>
      </w:r>
      <w:r w:rsidR="008D34B3" w:rsidRPr="008D34B3">
        <w:rPr>
          <w:rFonts w:ascii="宋体" w:hAnsi="宋体"/>
          <w:color w:val="000000"/>
          <w:sz w:val="28"/>
          <w:szCs w:val="28"/>
        </w:rPr>
        <w:t>评审工作坚持公正、公平、公开、择优的原则，严格执行国家有关教育法规，杜绝弄虚作假。</w:t>
      </w:r>
    </w:p>
    <w:p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</w:t>
      </w:r>
      <w:r w:rsidRPr="00D9712A">
        <w:rPr>
          <w:rFonts w:ascii="宋体" w:hAnsi="宋体" w:hint="eastAsia"/>
          <w:color w:val="000000"/>
          <w:sz w:val="28"/>
          <w:szCs w:val="28"/>
        </w:rPr>
        <w:t>经学院</w:t>
      </w:r>
      <w:r w:rsidRPr="00D9712A">
        <w:rPr>
          <w:rFonts w:ascii="宋体" w:hAnsi="宋体"/>
          <w:color w:val="000000"/>
          <w:sz w:val="28"/>
          <w:szCs w:val="28"/>
        </w:rPr>
        <w:t>研究生学业奖学金评审委员会确定</w:t>
      </w:r>
      <w:r>
        <w:rPr>
          <w:rFonts w:ascii="宋体" w:hAnsi="宋体"/>
          <w:color w:val="000000"/>
          <w:sz w:val="28"/>
          <w:szCs w:val="28"/>
        </w:rPr>
        <w:t>获奖学生名单后，</w:t>
      </w:r>
      <w:r w:rsidRPr="00D9712A">
        <w:rPr>
          <w:rFonts w:ascii="宋体" w:hAnsi="宋体"/>
          <w:color w:val="000000"/>
          <w:sz w:val="28"/>
          <w:szCs w:val="28"/>
        </w:rPr>
        <w:t>在本</w:t>
      </w:r>
      <w:r>
        <w:rPr>
          <w:rFonts w:ascii="宋体" w:hAnsi="宋体" w:hint="eastAsia"/>
          <w:color w:val="000000"/>
          <w:sz w:val="28"/>
          <w:szCs w:val="28"/>
        </w:rPr>
        <w:t>院</w:t>
      </w:r>
      <w:r>
        <w:rPr>
          <w:rFonts w:ascii="宋体" w:hAnsi="宋体"/>
          <w:color w:val="000000"/>
          <w:sz w:val="28"/>
          <w:szCs w:val="28"/>
        </w:rPr>
        <w:t>网站</w:t>
      </w:r>
      <w:r w:rsidRPr="00D9712A">
        <w:rPr>
          <w:rFonts w:ascii="宋体" w:hAnsi="宋体"/>
          <w:color w:val="000000"/>
          <w:sz w:val="28"/>
          <w:szCs w:val="28"/>
        </w:rPr>
        <w:t>进行不少于3个工作日的公示。公示无异议后，提交学校研究生学业奖学金评审领导小组审定。</w:t>
      </w:r>
    </w:p>
    <w:p w:rsidR="00D9712A" w:rsidRPr="00D9712A" w:rsidRDefault="00D9712A" w:rsidP="00D9712A">
      <w:pPr>
        <w:pStyle w:val="ab"/>
        <w:spacing w:beforeLines="100" w:before="312" w:afterLines="100" w:after="312"/>
        <w:ind w:firstLineChars="195" w:firstLine="546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（三）</w:t>
      </w:r>
      <w:r w:rsidRPr="00D9712A">
        <w:rPr>
          <w:rFonts w:ascii="宋体" w:hAnsi="宋体"/>
          <w:color w:val="000000"/>
          <w:sz w:val="28"/>
          <w:szCs w:val="28"/>
        </w:rPr>
        <w:t>对研究生学业奖学金评审结果有异议的，可在</w:t>
      </w:r>
      <w:r w:rsidRPr="00D9712A">
        <w:rPr>
          <w:rFonts w:ascii="宋体" w:hAnsi="宋体" w:hint="eastAsia"/>
          <w:color w:val="000000"/>
          <w:sz w:val="28"/>
          <w:szCs w:val="28"/>
        </w:rPr>
        <w:t>学院</w:t>
      </w:r>
      <w:r w:rsidRPr="00D9712A">
        <w:rPr>
          <w:rFonts w:ascii="宋体" w:hAnsi="宋体"/>
          <w:color w:val="000000"/>
          <w:sz w:val="28"/>
          <w:szCs w:val="28"/>
        </w:rPr>
        <w:t>公示阶</w:t>
      </w:r>
      <w:r w:rsidRPr="00D9712A">
        <w:rPr>
          <w:rFonts w:ascii="宋体" w:hAnsi="宋体"/>
          <w:color w:val="000000"/>
          <w:sz w:val="28"/>
          <w:szCs w:val="28"/>
        </w:rPr>
        <w:lastRenderedPageBreak/>
        <w:t>段向</w:t>
      </w:r>
      <w:r>
        <w:rPr>
          <w:rFonts w:ascii="宋体" w:hAnsi="宋体"/>
          <w:color w:val="000000"/>
          <w:sz w:val="28"/>
          <w:szCs w:val="28"/>
        </w:rPr>
        <w:t>学院</w:t>
      </w:r>
      <w:r w:rsidRPr="00D9712A">
        <w:rPr>
          <w:rFonts w:ascii="宋体" w:hAnsi="宋体"/>
          <w:color w:val="000000"/>
          <w:sz w:val="28"/>
          <w:szCs w:val="28"/>
        </w:rPr>
        <w:t>评审委员会提出</w:t>
      </w:r>
      <w:r w:rsidR="00904DDC">
        <w:rPr>
          <w:rFonts w:ascii="宋体" w:hAnsi="宋体" w:hint="eastAsia"/>
          <w:color w:val="000000"/>
          <w:sz w:val="28"/>
          <w:szCs w:val="28"/>
        </w:rPr>
        <w:t>复议</w:t>
      </w:r>
      <w:r w:rsidRPr="00D9712A">
        <w:rPr>
          <w:rFonts w:ascii="宋体" w:hAnsi="宋体"/>
          <w:color w:val="000000"/>
          <w:sz w:val="28"/>
          <w:szCs w:val="28"/>
        </w:rPr>
        <w:t>，评审委员会应及时研究并予以答复。如申诉人对</w:t>
      </w:r>
      <w:r w:rsidRPr="00D9712A">
        <w:rPr>
          <w:rFonts w:ascii="宋体" w:hAnsi="宋体" w:hint="eastAsia"/>
          <w:color w:val="000000"/>
          <w:sz w:val="28"/>
          <w:szCs w:val="28"/>
        </w:rPr>
        <w:t>本</w:t>
      </w:r>
      <w:r w:rsidRPr="00D9712A">
        <w:rPr>
          <w:rFonts w:ascii="宋体" w:hAnsi="宋体"/>
          <w:color w:val="000000"/>
          <w:sz w:val="28"/>
          <w:szCs w:val="28"/>
        </w:rPr>
        <w:t>单位</w:t>
      </w:r>
      <w:proofErr w:type="gramStart"/>
      <w:r w:rsidRPr="00D9712A">
        <w:rPr>
          <w:rFonts w:ascii="宋体" w:hAnsi="宋体"/>
          <w:color w:val="000000"/>
          <w:sz w:val="28"/>
          <w:szCs w:val="28"/>
        </w:rPr>
        <w:t>作出</w:t>
      </w:r>
      <w:proofErr w:type="gramEnd"/>
      <w:r w:rsidRPr="00D9712A">
        <w:rPr>
          <w:rFonts w:ascii="宋体" w:hAnsi="宋体"/>
          <w:color w:val="000000"/>
          <w:sz w:val="28"/>
          <w:szCs w:val="28"/>
        </w:rPr>
        <w:t>的答复仍存在异议，可在学校公示阶段向</w:t>
      </w:r>
      <w:r>
        <w:rPr>
          <w:rFonts w:ascii="宋体" w:hAnsi="宋体"/>
          <w:color w:val="000000"/>
          <w:sz w:val="28"/>
          <w:szCs w:val="28"/>
        </w:rPr>
        <w:t>学校</w:t>
      </w:r>
      <w:r w:rsidRPr="00D9712A">
        <w:rPr>
          <w:rFonts w:ascii="宋体" w:hAnsi="宋体"/>
          <w:color w:val="000000"/>
          <w:sz w:val="28"/>
          <w:szCs w:val="28"/>
        </w:rPr>
        <w:t>研究生学业奖学金评审领导小组提请裁决。</w:t>
      </w:r>
    </w:p>
    <w:p w:rsidR="000A31F0" w:rsidRPr="0098141F" w:rsidRDefault="00D9712A" w:rsidP="008637AD">
      <w:pPr>
        <w:pStyle w:val="ab"/>
        <w:spacing w:beforeLines="100" w:before="312" w:afterLines="100" w:after="312"/>
        <w:ind w:firstLineChars="195" w:firstLine="548"/>
        <w:outlineLvl w:val="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八、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本</w:t>
      </w:r>
      <w:r w:rsidR="00D91058">
        <w:rPr>
          <w:rFonts w:ascii="宋体" w:hAnsi="宋体" w:hint="eastAsia"/>
          <w:b/>
          <w:color w:val="000000"/>
          <w:sz w:val="28"/>
          <w:szCs w:val="28"/>
        </w:rPr>
        <w:t>实施细则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自</w:t>
      </w:r>
      <w:r w:rsidR="003D5628">
        <w:rPr>
          <w:rFonts w:ascii="宋体" w:hAnsi="宋体" w:hint="eastAsia"/>
          <w:b/>
          <w:color w:val="000000"/>
          <w:sz w:val="28"/>
          <w:szCs w:val="28"/>
        </w:rPr>
        <w:t>公布之日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起执行，</w:t>
      </w:r>
      <w:r w:rsidR="000A31F0" w:rsidRPr="007D3DEC">
        <w:rPr>
          <w:rFonts w:ascii="宋体" w:hAnsi="宋体" w:hint="eastAsia"/>
          <w:b/>
          <w:color w:val="000000"/>
          <w:sz w:val="28"/>
          <w:szCs w:val="28"/>
        </w:rPr>
        <w:t>报研究生院备案，</w:t>
      </w:r>
      <w:r w:rsidR="000A31F0">
        <w:rPr>
          <w:rFonts w:ascii="宋体" w:hAnsi="宋体" w:hint="eastAsia"/>
          <w:b/>
          <w:color w:val="000000"/>
          <w:sz w:val="28"/>
          <w:szCs w:val="28"/>
        </w:rPr>
        <w:t>由人文学院负责</w:t>
      </w:r>
      <w:r w:rsidR="000A31F0" w:rsidRPr="0098141F">
        <w:rPr>
          <w:rFonts w:ascii="宋体" w:hAnsi="宋体" w:hint="eastAsia"/>
          <w:b/>
          <w:color w:val="000000"/>
          <w:sz w:val="28"/>
          <w:szCs w:val="28"/>
        </w:rPr>
        <w:t>解释。</w:t>
      </w:r>
    </w:p>
    <w:p w:rsidR="0071034D" w:rsidRPr="000A31F0" w:rsidRDefault="00FE7C47" w:rsidP="0019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D622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《研究生学业奖学金申报成果情况表》</w:t>
      </w:r>
    </w:p>
    <w:sectPr w:rsidR="0071034D" w:rsidRPr="000A31F0" w:rsidSect="00A5092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2E" w:rsidRDefault="00AE442E" w:rsidP="00881DFE">
      <w:r>
        <w:separator/>
      </w:r>
    </w:p>
  </w:endnote>
  <w:endnote w:type="continuationSeparator" w:id="0">
    <w:p w:rsidR="00AE442E" w:rsidRDefault="00AE442E" w:rsidP="008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75204"/>
      <w:docPartObj>
        <w:docPartGallery w:val="Page Numbers (Bottom of Page)"/>
        <w:docPartUnique/>
      </w:docPartObj>
    </w:sdtPr>
    <w:sdtEndPr/>
    <w:sdtContent>
      <w:p w:rsidR="00946E19" w:rsidRDefault="009B0C32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91058" w:rsidRPr="00D91058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946E19" w:rsidRDefault="00946E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2E" w:rsidRDefault="00AE442E" w:rsidP="00881DFE">
      <w:r>
        <w:separator/>
      </w:r>
    </w:p>
  </w:footnote>
  <w:footnote w:type="continuationSeparator" w:id="0">
    <w:p w:rsidR="00AE442E" w:rsidRDefault="00AE442E" w:rsidP="008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3317"/>
    <w:multiLevelType w:val="hybridMultilevel"/>
    <w:tmpl w:val="196ED59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3A5"/>
    <w:rsid w:val="00013758"/>
    <w:rsid w:val="00026350"/>
    <w:rsid w:val="000266BB"/>
    <w:rsid w:val="000322F9"/>
    <w:rsid w:val="000A31F0"/>
    <w:rsid w:val="000C55BD"/>
    <w:rsid w:val="000D2E79"/>
    <w:rsid w:val="000F0883"/>
    <w:rsid w:val="00101746"/>
    <w:rsid w:val="00105D81"/>
    <w:rsid w:val="00116032"/>
    <w:rsid w:val="001547EA"/>
    <w:rsid w:val="00184CDD"/>
    <w:rsid w:val="0019605F"/>
    <w:rsid w:val="001A4562"/>
    <w:rsid w:val="001C0CFF"/>
    <w:rsid w:val="001C6BB7"/>
    <w:rsid w:val="001E512C"/>
    <w:rsid w:val="001F3224"/>
    <w:rsid w:val="002073E3"/>
    <w:rsid w:val="00210FD3"/>
    <w:rsid w:val="002313A9"/>
    <w:rsid w:val="00250B64"/>
    <w:rsid w:val="00254E3C"/>
    <w:rsid w:val="00261C72"/>
    <w:rsid w:val="00263A1D"/>
    <w:rsid w:val="002773FB"/>
    <w:rsid w:val="0027751B"/>
    <w:rsid w:val="00277BD1"/>
    <w:rsid w:val="00280121"/>
    <w:rsid w:val="002840C3"/>
    <w:rsid w:val="00286357"/>
    <w:rsid w:val="00286B29"/>
    <w:rsid w:val="002919F5"/>
    <w:rsid w:val="002A4BDF"/>
    <w:rsid w:val="002D056F"/>
    <w:rsid w:val="002D0983"/>
    <w:rsid w:val="002D704F"/>
    <w:rsid w:val="002F086C"/>
    <w:rsid w:val="00314480"/>
    <w:rsid w:val="00317163"/>
    <w:rsid w:val="00341FEE"/>
    <w:rsid w:val="003833A5"/>
    <w:rsid w:val="003D5628"/>
    <w:rsid w:val="00413C5F"/>
    <w:rsid w:val="004251EA"/>
    <w:rsid w:val="00427BE6"/>
    <w:rsid w:val="00432AA2"/>
    <w:rsid w:val="00435275"/>
    <w:rsid w:val="004651E7"/>
    <w:rsid w:val="004740E2"/>
    <w:rsid w:val="0048753B"/>
    <w:rsid w:val="004A28EA"/>
    <w:rsid w:val="004B202A"/>
    <w:rsid w:val="004B70E9"/>
    <w:rsid w:val="004C1DEA"/>
    <w:rsid w:val="004E1C3F"/>
    <w:rsid w:val="004F1CDE"/>
    <w:rsid w:val="00521961"/>
    <w:rsid w:val="00522A3C"/>
    <w:rsid w:val="00523002"/>
    <w:rsid w:val="005542E5"/>
    <w:rsid w:val="00595433"/>
    <w:rsid w:val="005A62B7"/>
    <w:rsid w:val="005B39E6"/>
    <w:rsid w:val="005D574C"/>
    <w:rsid w:val="005E123B"/>
    <w:rsid w:val="005E354D"/>
    <w:rsid w:val="005E48C4"/>
    <w:rsid w:val="006000D6"/>
    <w:rsid w:val="00607EA5"/>
    <w:rsid w:val="00633BB6"/>
    <w:rsid w:val="00634342"/>
    <w:rsid w:val="00653672"/>
    <w:rsid w:val="00674916"/>
    <w:rsid w:val="006802AB"/>
    <w:rsid w:val="00692BF6"/>
    <w:rsid w:val="006934A3"/>
    <w:rsid w:val="006B4044"/>
    <w:rsid w:val="006C1FEB"/>
    <w:rsid w:val="006C4F7B"/>
    <w:rsid w:val="006E54CF"/>
    <w:rsid w:val="007050CF"/>
    <w:rsid w:val="0071034D"/>
    <w:rsid w:val="00734806"/>
    <w:rsid w:val="00761DB6"/>
    <w:rsid w:val="0077303D"/>
    <w:rsid w:val="0077754E"/>
    <w:rsid w:val="00781094"/>
    <w:rsid w:val="00782948"/>
    <w:rsid w:val="007C4800"/>
    <w:rsid w:val="007F1502"/>
    <w:rsid w:val="0083119F"/>
    <w:rsid w:val="00846ED6"/>
    <w:rsid w:val="008637AD"/>
    <w:rsid w:val="00881DFE"/>
    <w:rsid w:val="008C32F9"/>
    <w:rsid w:val="008C4AB9"/>
    <w:rsid w:val="008C64F1"/>
    <w:rsid w:val="008C6EBF"/>
    <w:rsid w:val="008D34B3"/>
    <w:rsid w:val="008E2F65"/>
    <w:rsid w:val="008E38D0"/>
    <w:rsid w:val="008F061C"/>
    <w:rsid w:val="008F0C4B"/>
    <w:rsid w:val="008F4778"/>
    <w:rsid w:val="0090382A"/>
    <w:rsid w:val="00904DDC"/>
    <w:rsid w:val="009324E2"/>
    <w:rsid w:val="00946E19"/>
    <w:rsid w:val="009B0C32"/>
    <w:rsid w:val="009B599F"/>
    <w:rsid w:val="009F6736"/>
    <w:rsid w:val="00A02CC9"/>
    <w:rsid w:val="00A447CA"/>
    <w:rsid w:val="00A50920"/>
    <w:rsid w:val="00A51C42"/>
    <w:rsid w:val="00A71466"/>
    <w:rsid w:val="00A83B63"/>
    <w:rsid w:val="00AD0653"/>
    <w:rsid w:val="00AD6D03"/>
    <w:rsid w:val="00AE24DB"/>
    <w:rsid w:val="00AE442E"/>
    <w:rsid w:val="00AF50C2"/>
    <w:rsid w:val="00B04234"/>
    <w:rsid w:val="00B12B2D"/>
    <w:rsid w:val="00B179EA"/>
    <w:rsid w:val="00B23550"/>
    <w:rsid w:val="00B3206B"/>
    <w:rsid w:val="00B32D32"/>
    <w:rsid w:val="00B33721"/>
    <w:rsid w:val="00B852DC"/>
    <w:rsid w:val="00BC57DF"/>
    <w:rsid w:val="00BC5B44"/>
    <w:rsid w:val="00BF445F"/>
    <w:rsid w:val="00C1484F"/>
    <w:rsid w:val="00C360CF"/>
    <w:rsid w:val="00C53C22"/>
    <w:rsid w:val="00C55C96"/>
    <w:rsid w:val="00C573F8"/>
    <w:rsid w:val="00C70CFE"/>
    <w:rsid w:val="00C84299"/>
    <w:rsid w:val="00C969E7"/>
    <w:rsid w:val="00CD3F14"/>
    <w:rsid w:val="00D25556"/>
    <w:rsid w:val="00D7313C"/>
    <w:rsid w:val="00D83C67"/>
    <w:rsid w:val="00D91058"/>
    <w:rsid w:val="00D9712A"/>
    <w:rsid w:val="00DE179A"/>
    <w:rsid w:val="00DE1CDB"/>
    <w:rsid w:val="00DE2B7D"/>
    <w:rsid w:val="00DF2978"/>
    <w:rsid w:val="00E34CB1"/>
    <w:rsid w:val="00E43AFD"/>
    <w:rsid w:val="00E4788A"/>
    <w:rsid w:val="00E551AF"/>
    <w:rsid w:val="00E93822"/>
    <w:rsid w:val="00EC404D"/>
    <w:rsid w:val="00F15DDB"/>
    <w:rsid w:val="00F478C0"/>
    <w:rsid w:val="00F503C2"/>
    <w:rsid w:val="00F60760"/>
    <w:rsid w:val="00F70BBB"/>
    <w:rsid w:val="00F750C7"/>
    <w:rsid w:val="00F759EB"/>
    <w:rsid w:val="00F84260"/>
    <w:rsid w:val="00FE7C47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1DF548-7A80-4E02-8382-EE89A39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1DFE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881DFE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8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81D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81DFE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C0CF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C0CFF"/>
  </w:style>
  <w:style w:type="paragraph" w:styleId="ab">
    <w:name w:val="No Spacing"/>
    <w:qFormat/>
    <w:rsid w:val="000A31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8637A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D97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2C85-D366-4A3B-A83F-2EBEF3E3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Foriver</dc:creator>
  <cp:lastModifiedBy> </cp:lastModifiedBy>
  <cp:revision>79</cp:revision>
  <dcterms:created xsi:type="dcterms:W3CDTF">2015-10-09T02:00:00Z</dcterms:created>
  <dcterms:modified xsi:type="dcterms:W3CDTF">2018-09-26T14:42:00Z</dcterms:modified>
</cp:coreProperties>
</file>